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EA26" w14:textId="7EFC3E4F" w:rsidR="00A27369" w:rsidRPr="004F70A6" w:rsidRDefault="00A27369" w:rsidP="004F70A6">
      <w:pPr>
        <w:widowControl/>
        <w:spacing w:before="75" w:after="75" w:line="525" w:lineRule="atLeast"/>
        <w:jc w:val="center"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  <w14:ligatures w14:val="none"/>
        </w:rPr>
      </w:pPr>
      <w:r w:rsidRPr="004F70A6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民事</w:t>
      </w:r>
      <w:r w:rsidR="00687516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检察</w:t>
      </w:r>
      <w:r w:rsidRPr="004F70A6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监督（复查）申请书</w:t>
      </w:r>
    </w:p>
    <w:p w14:paraId="76FC93EF" w14:textId="77777777" w:rsidR="00A27369" w:rsidRPr="004F70A6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750327">
        <w:rPr>
          <w:rFonts w:ascii="FangSong" w:eastAsia="FangSong" w:hAnsi="FangSong" w:cs="宋体"/>
          <w:b/>
          <w:bCs/>
          <w:color w:val="333333"/>
          <w:kern w:val="0"/>
          <w:sz w:val="32"/>
          <w:szCs w:val="32"/>
          <w14:ligatures w14:val="none"/>
        </w:rPr>
        <w:t>申请人</w:t>
      </w: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（写明诉讼地位）：……（写明姓名或名称、性别、出生日期、民族、身份证号码、工作单位、职业、家庭住址、邮政编码、有效联系方式等基本情况。）</w:t>
      </w:r>
    </w:p>
    <w:p w14:paraId="52C439C0" w14:textId="77777777" w:rsidR="00A27369" w:rsidRPr="004F70A6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法定代表人（或负责人）：……（写明姓名和职务。）</w:t>
      </w:r>
    </w:p>
    <w:p w14:paraId="4CE85364" w14:textId="77777777" w:rsidR="00A27369" w:rsidRPr="004F70A6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法定代理人（或指定代理人）：……（写明姓名等基本情况。）</w:t>
      </w:r>
    </w:p>
    <w:p w14:paraId="07D3F89A" w14:textId="77777777" w:rsidR="00A27369" w:rsidRPr="004F70A6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委托代理人（此处指申请监督的委托代理人）：……（写明姓名等基本情况。）</w:t>
      </w:r>
    </w:p>
    <w:p w14:paraId="69F4D42E" w14:textId="77777777" w:rsidR="00A27369" w:rsidRPr="004F70A6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其他当事人（写明诉讼地位）：……（写明姓名或名称、性别、出生日期、家庭住址、联系方式等基本情况。）</w:t>
      </w:r>
    </w:p>
    <w:p w14:paraId="707CD74D" w14:textId="10F6D150" w:rsidR="00A27369" w:rsidRPr="00750327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b/>
          <w:bCs/>
          <w:color w:val="333333"/>
          <w:kern w:val="0"/>
          <w:sz w:val="24"/>
          <w14:ligatures w14:val="none"/>
        </w:rPr>
      </w:pPr>
      <w:r w:rsidRPr="00750327">
        <w:rPr>
          <w:rFonts w:ascii="FangSong" w:eastAsia="FangSong" w:hAnsi="FangSong" w:cs="宋体"/>
          <w:b/>
          <w:bCs/>
          <w:color w:val="333333"/>
          <w:kern w:val="0"/>
          <w:sz w:val="32"/>
          <w:szCs w:val="32"/>
          <w14:ligatures w14:val="none"/>
        </w:rPr>
        <w:t>申请人因与×××（其他当事人）××（案由）一案，不服××人民法院×号民事判决（裁定或者调解书），现申请监督。 [申请对执行活动监督表述为：申请人认为××人民法院执行（审查）××××（当事人的姓名或名称、案由、案号）一案存在违法情形，现申请监督。</w:t>
      </w:r>
    </w:p>
    <w:p w14:paraId="451D6A7C" w14:textId="77777777" w:rsidR="004F70A6" w:rsidRPr="00750327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b/>
          <w:bCs/>
          <w:color w:val="333333"/>
          <w:kern w:val="0"/>
          <w:sz w:val="32"/>
          <w:szCs w:val="32"/>
          <w14:ligatures w14:val="none"/>
        </w:rPr>
      </w:pPr>
      <w:r w:rsidRPr="00750327">
        <w:rPr>
          <w:rFonts w:ascii="FangSong" w:eastAsia="FangSong" w:hAnsi="FangSong" w:cs="宋体"/>
          <w:b/>
          <w:bCs/>
          <w:color w:val="333333"/>
          <w:kern w:val="0"/>
          <w:sz w:val="32"/>
          <w:szCs w:val="32"/>
          <w14:ligatures w14:val="none"/>
        </w:rPr>
        <w:t>监督请求：</w:t>
      </w:r>
    </w:p>
    <w:p w14:paraId="005CA913" w14:textId="20BB1B92" w:rsidR="00A27369" w:rsidRPr="004F70A6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……（写明具体的申请监督请求，向人民检察院申请检察建议或者抗诉。）</w:t>
      </w:r>
    </w:p>
    <w:p w14:paraId="2F709B59" w14:textId="2D384B98" w:rsidR="004F70A6" w:rsidRPr="00750327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b/>
          <w:bCs/>
          <w:color w:val="333333"/>
          <w:kern w:val="0"/>
          <w:sz w:val="32"/>
          <w:szCs w:val="32"/>
          <w14:ligatures w14:val="none"/>
        </w:rPr>
      </w:pPr>
      <w:r w:rsidRPr="00750327">
        <w:rPr>
          <w:rFonts w:ascii="FangSong" w:eastAsia="FangSong" w:hAnsi="FangSong" w:cs="宋体"/>
          <w:b/>
          <w:bCs/>
          <w:color w:val="333333"/>
          <w:kern w:val="0"/>
          <w:sz w:val="32"/>
          <w:szCs w:val="32"/>
          <w14:ligatures w14:val="none"/>
        </w:rPr>
        <w:t>事实</w:t>
      </w:r>
      <w:r w:rsidR="00750327">
        <w:rPr>
          <w:rFonts w:ascii="FangSong" w:eastAsia="FangSong" w:hAnsi="FangSong" w:cs="宋体" w:hint="eastAsia"/>
          <w:b/>
          <w:bCs/>
          <w:color w:val="333333"/>
          <w:kern w:val="0"/>
          <w:sz w:val="32"/>
          <w:szCs w:val="32"/>
          <w14:ligatures w14:val="none"/>
        </w:rPr>
        <w:t>与</w:t>
      </w:r>
      <w:r w:rsidRPr="00750327">
        <w:rPr>
          <w:rFonts w:ascii="FangSong" w:eastAsia="FangSong" w:hAnsi="FangSong" w:cs="宋体"/>
          <w:b/>
          <w:bCs/>
          <w:color w:val="333333"/>
          <w:kern w:val="0"/>
          <w:sz w:val="32"/>
          <w:szCs w:val="32"/>
          <w14:ligatures w14:val="none"/>
        </w:rPr>
        <w:t>理由：</w:t>
      </w:r>
    </w:p>
    <w:p w14:paraId="3FE5B463" w14:textId="77777777" w:rsidR="004F70A6" w:rsidRPr="004F70A6" w:rsidRDefault="00A27369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32"/>
          <w:szCs w:val="32"/>
          <w14:ligatures w14:val="none"/>
        </w:rPr>
      </w:pP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……（写明具体的事实和理由）</w:t>
      </w:r>
    </w:p>
    <w:p w14:paraId="67C89E6F" w14:textId="64158C93" w:rsidR="004F70A6" w:rsidRPr="00750327" w:rsidRDefault="004F70A6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b/>
          <w:bCs/>
          <w:color w:val="333333"/>
          <w:kern w:val="0"/>
          <w:sz w:val="32"/>
          <w:szCs w:val="32"/>
          <w14:ligatures w14:val="none"/>
        </w:rPr>
      </w:pPr>
      <w:r w:rsidRPr="00750327">
        <w:rPr>
          <w:rFonts w:ascii="FangSong" w:eastAsia="FangSong" w:hAnsi="FangSong" w:cs="宋体"/>
          <w:b/>
          <w:bCs/>
          <w:color w:val="333333"/>
          <w:kern w:val="0"/>
          <w:sz w:val="32"/>
          <w:szCs w:val="32"/>
          <w14:ligatures w14:val="none"/>
        </w:rPr>
        <w:lastRenderedPageBreak/>
        <w:t>附：</w:t>
      </w:r>
    </w:p>
    <w:p w14:paraId="16730741" w14:textId="77777777" w:rsidR="004F70A6" w:rsidRPr="004F70A6" w:rsidRDefault="004F70A6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4F70A6">
        <w:rPr>
          <w:rFonts w:ascii="FangSong" w:eastAsia="FangSong" w:hAnsi="FangSong" w:cs="Times New Roman"/>
          <w:color w:val="333333"/>
          <w:kern w:val="0"/>
          <w:sz w:val="32"/>
          <w:szCs w:val="32"/>
          <w14:ligatures w14:val="none"/>
        </w:rPr>
        <w:t>1.身份证明</w:t>
      </w: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；</w:t>
      </w:r>
    </w:p>
    <w:p w14:paraId="55EA16EA" w14:textId="77777777" w:rsidR="004F70A6" w:rsidRPr="004F70A6" w:rsidRDefault="004F70A6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4F70A6">
        <w:rPr>
          <w:rFonts w:ascii="FangSong" w:eastAsia="FangSong" w:hAnsi="FangSong" w:cs="Times New Roman"/>
          <w:color w:val="333333"/>
          <w:kern w:val="0"/>
          <w:sz w:val="32"/>
          <w:szCs w:val="32"/>
          <w14:ligatures w14:val="none"/>
        </w:rPr>
        <w:t>2.</w:t>
      </w: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相关法律文书（复印件）；</w:t>
      </w:r>
    </w:p>
    <w:p w14:paraId="107DE1BB" w14:textId="77777777" w:rsidR="004F70A6" w:rsidRPr="004F70A6" w:rsidRDefault="004F70A6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4F70A6">
        <w:rPr>
          <w:rFonts w:ascii="FangSong" w:eastAsia="FangSong" w:hAnsi="FangSong" w:cs="Times New Roman"/>
          <w:color w:val="333333"/>
          <w:kern w:val="0"/>
          <w:sz w:val="32"/>
          <w:szCs w:val="32"/>
          <w14:ligatures w14:val="none"/>
        </w:rPr>
        <w:t>3.相关证据材料</w:t>
      </w: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；</w:t>
      </w:r>
    </w:p>
    <w:p w14:paraId="4FE5C59A" w14:textId="29BECACE" w:rsidR="004F70A6" w:rsidRPr="004F70A6" w:rsidRDefault="004F70A6" w:rsidP="004A0984">
      <w:pPr>
        <w:widowControl/>
        <w:spacing w:before="75" w:after="75" w:line="525" w:lineRule="atLeast"/>
        <w:ind w:firstLine="645"/>
        <w:jc w:val="both"/>
        <w:rPr>
          <w:rFonts w:ascii="FangSong" w:eastAsia="FangSong" w:hAnsi="FangSong" w:cs="宋体" w:hint="eastAsia"/>
          <w:color w:val="333333"/>
          <w:kern w:val="0"/>
          <w:sz w:val="24"/>
          <w14:ligatures w14:val="none"/>
        </w:rPr>
      </w:pPr>
      <w:r w:rsidRPr="004F70A6">
        <w:rPr>
          <w:rFonts w:ascii="FangSong" w:eastAsia="FangSong" w:hAnsi="FangSong" w:cs="Times New Roman"/>
          <w:color w:val="333333"/>
          <w:kern w:val="0"/>
          <w:sz w:val="32"/>
          <w:szCs w:val="32"/>
          <w14:ligatures w14:val="none"/>
        </w:rPr>
        <w:t>4.</w:t>
      </w: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民事</w:t>
      </w:r>
      <w:r w:rsidRPr="004F70A6">
        <w:rPr>
          <w:rFonts w:ascii="FangSong" w:eastAsia="FangSong" w:hAnsi="FangSong" w:cs="Times New Roman"/>
          <w:color w:val="333333"/>
          <w:kern w:val="0"/>
          <w:sz w:val="32"/>
          <w:szCs w:val="32"/>
          <w14:ligatures w14:val="none"/>
        </w:rPr>
        <w:t>监督（复查）申请</w:t>
      </w:r>
      <w:r w:rsidRPr="004F70A6">
        <w:rPr>
          <w:rFonts w:ascii="FangSong" w:eastAsia="FangSong" w:hAnsi="FangSong" w:cs="宋体"/>
          <w:color w:val="333333"/>
          <w:kern w:val="0"/>
          <w:sz w:val="32"/>
          <w:szCs w:val="32"/>
          <w14:ligatures w14:val="none"/>
        </w:rPr>
        <w:t>书副本×份。</w:t>
      </w:r>
    </w:p>
    <w:p w14:paraId="0867D865" w14:textId="77777777" w:rsidR="00A27369" w:rsidRPr="00750327" w:rsidRDefault="00A27369" w:rsidP="004A0984">
      <w:pPr>
        <w:widowControl/>
        <w:spacing w:before="75" w:after="75" w:line="525" w:lineRule="atLeast"/>
        <w:ind w:firstLineChars="200" w:firstLine="643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此致</w:t>
      </w:r>
    </w:p>
    <w:p w14:paraId="04AC3A00" w14:textId="5B4AE6C7" w:rsidR="00A27369" w:rsidRPr="00750327" w:rsidRDefault="00A27369" w:rsidP="004A0984">
      <w:pPr>
        <w:widowControl/>
        <w:spacing w:before="75" w:after="75" w:line="525" w:lineRule="atLeast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×××</w:t>
      </w: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人民检察院</w:t>
      </w:r>
    </w:p>
    <w:p w14:paraId="5E39C52D" w14:textId="77777777" w:rsidR="00A27369" w:rsidRPr="00750327" w:rsidRDefault="00A27369" w:rsidP="004A0984">
      <w:pPr>
        <w:widowControl/>
        <w:spacing w:before="75" w:after="75" w:line="525" w:lineRule="atLeast"/>
        <w:ind w:firstLineChars="1300" w:firstLine="4176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申请人签名、盖章或者捺印</w:t>
      </w:r>
    </w:p>
    <w:p w14:paraId="694E2B82" w14:textId="69D7CAF1" w:rsidR="00A27369" w:rsidRPr="00750327" w:rsidRDefault="00A27369" w:rsidP="004A0984">
      <w:pPr>
        <w:widowControl/>
        <w:spacing w:before="75" w:after="75" w:line="525" w:lineRule="atLeast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              ××××</w:t>
      </w: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年</w:t>
      </w: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××</w:t>
      </w: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月</w:t>
      </w: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××</w:t>
      </w:r>
      <w:r w:rsidRPr="00750327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日</w:t>
      </w:r>
    </w:p>
    <w:p w14:paraId="76E80419" w14:textId="77777777" w:rsidR="00A27369" w:rsidRPr="008E7932" w:rsidRDefault="00A27369" w:rsidP="00A27369">
      <w:pPr>
        <w:widowControl/>
        <w:spacing w:before="75" w:after="75" w:line="52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32"/>
          <w:szCs w:val="32"/>
          <w14:ligatures w14:val="none"/>
        </w:rPr>
        <w:t> </w:t>
      </w:r>
    </w:p>
    <w:p w14:paraId="2FE2FF59" w14:textId="77777777" w:rsidR="00A27369" w:rsidRPr="008E7932" w:rsidRDefault="00A27369" w:rsidP="00A27369">
      <w:pPr>
        <w:widowControl/>
        <w:spacing w:before="75" w:after="75" w:line="240" w:lineRule="auto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宋体" w:eastAsia="宋体" w:hAnsi="宋体" w:cs="宋体"/>
          <w:color w:val="333333"/>
          <w:kern w:val="0"/>
          <w:sz w:val="21"/>
          <w:szCs w:val="21"/>
          <w14:ligatures w14:val="none"/>
        </w:rPr>
        <w:t> </w:t>
      </w:r>
    </w:p>
    <w:p w14:paraId="326AB401" w14:textId="77777777" w:rsidR="00A27369" w:rsidRPr="008E7932" w:rsidRDefault="00A27369" w:rsidP="00A27369">
      <w:pPr>
        <w:widowControl/>
        <w:spacing w:before="75" w:after="75" w:line="525" w:lineRule="atLeast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相关说明：</w:t>
      </w:r>
    </w:p>
    <w:p w14:paraId="42884675" w14:textId="77777777" w:rsidR="00A27369" w:rsidRPr="008E7932" w:rsidRDefault="00A27369" w:rsidP="00A27369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1.身份证明是指：</w:t>
      </w:r>
    </w:p>
    <w:p w14:paraId="0103C3E9" w14:textId="77777777" w:rsidR="00A27369" w:rsidRPr="008E7932" w:rsidRDefault="00A27369" w:rsidP="00A27369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公民的居民身份证、军官证、士兵证、护照等能够证明本人身份的有效证件；法人或者其他组织的统一社会信用代码证书或者营业执照、法定代表人或者主要负责人的身份证明等有效证照。</w:t>
      </w:r>
    </w:p>
    <w:p w14:paraId="087F671D" w14:textId="77777777" w:rsidR="00A27369" w:rsidRPr="008E7932" w:rsidRDefault="00A27369" w:rsidP="00A27369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法定代理人、近亲属、辩护人、诉讼代理人提出申请的，还要求其同时提供关系证明或委托手续。</w:t>
      </w:r>
    </w:p>
    <w:p w14:paraId="1AA3701F" w14:textId="77777777" w:rsidR="00A27369" w:rsidRPr="008E7932" w:rsidRDefault="00A27369" w:rsidP="00A27369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2.有关法律文书是指下列文书：</w:t>
      </w:r>
    </w:p>
    <w:p w14:paraId="0B11172A" w14:textId="77777777" w:rsidR="00A27369" w:rsidRPr="008E7932" w:rsidRDefault="00A27369" w:rsidP="00A27369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（1）不服法院已经发生法律效力的判决、裁定、调解书的，主要包括法院一审、二审、再审的判决、裁定或调解书等。向上一级</w:t>
      </w: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lastRenderedPageBreak/>
        <w:t>检察院申请复查的还包括下级检察院出具的不支持监督申请决定书。</w:t>
      </w:r>
    </w:p>
    <w:p w14:paraId="29B26370" w14:textId="77777777" w:rsidR="00A27369" w:rsidRPr="008E7932" w:rsidRDefault="00A27369" w:rsidP="00A27369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（2）认为民事审判程序中审判人员存在违法行为的，主要包括法院一审、二审、再审的判决、裁定。</w:t>
      </w:r>
    </w:p>
    <w:p w14:paraId="3B9D9239" w14:textId="77777777" w:rsidR="00A27369" w:rsidRPr="008E7932" w:rsidRDefault="00A27369" w:rsidP="00A27369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（3）认为民事执行活动存在违法情形的，主要包括法院一审、二审、再审的判决、裁定或调解书、执行通知书等。</w:t>
      </w:r>
    </w:p>
    <w:p w14:paraId="26FF5E53" w14:textId="77777777" w:rsidR="00A27369" w:rsidRPr="008E7932" w:rsidRDefault="00A27369" w:rsidP="00A27369">
      <w:pPr>
        <w:widowControl/>
        <w:spacing w:before="75" w:after="75" w:line="525" w:lineRule="atLeast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3.相关证据材料要注明证据的名称和来源。</w:t>
      </w:r>
    </w:p>
    <w:p w14:paraId="2383BAD2" w14:textId="77777777" w:rsidR="003378AD" w:rsidRPr="00A27369" w:rsidRDefault="003378AD">
      <w:pPr>
        <w:rPr>
          <w:rFonts w:hint="eastAsia"/>
        </w:rPr>
      </w:pPr>
    </w:p>
    <w:sectPr w:rsidR="003378AD" w:rsidRPr="00A27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6D29" w14:textId="77777777" w:rsidR="001E5497" w:rsidRDefault="001E5497" w:rsidP="00A2736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5A196A" w14:textId="77777777" w:rsidR="001E5497" w:rsidRDefault="001E5497" w:rsidP="00A2736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92AB" w14:textId="77777777" w:rsidR="001E5497" w:rsidRDefault="001E5497" w:rsidP="00A2736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6578E8" w14:textId="77777777" w:rsidR="001E5497" w:rsidRDefault="001E5497" w:rsidP="00A2736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AD"/>
    <w:rsid w:val="001A59BC"/>
    <w:rsid w:val="001E5497"/>
    <w:rsid w:val="00214C6C"/>
    <w:rsid w:val="003378AD"/>
    <w:rsid w:val="00392334"/>
    <w:rsid w:val="00460E5E"/>
    <w:rsid w:val="004A0984"/>
    <w:rsid w:val="004F70A6"/>
    <w:rsid w:val="005A0401"/>
    <w:rsid w:val="005D3BF9"/>
    <w:rsid w:val="00687516"/>
    <w:rsid w:val="00750327"/>
    <w:rsid w:val="00822589"/>
    <w:rsid w:val="008244D8"/>
    <w:rsid w:val="00891EBF"/>
    <w:rsid w:val="008C2B7B"/>
    <w:rsid w:val="00A27369"/>
    <w:rsid w:val="00D01DBF"/>
    <w:rsid w:val="00EA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52DD2"/>
  <w15:chartTrackingRefBased/>
  <w15:docId w15:val="{E70F5CE6-AEA7-4BAB-A337-9FC518D1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3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8A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736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73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736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73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GeTaoLawyer001</dc:creator>
  <cp:keywords/>
  <dc:description/>
  <cp:lastModifiedBy>GeTaoLawyer001</cp:lastModifiedBy>
  <cp:revision>6</cp:revision>
  <dcterms:created xsi:type="dcterms:W3CDTF">2026-07-11T12:29:00Z</dcterms:created>
  <dcterms:modified xsi:type="dcterms:W3CDTF">2026-07-11T13:24:00Z</dcterms:modified>
</cp:coreProperties>
</file>